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Стоматология общей практики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общей практики | Записей: 2</w:t>
      </w:r>
    </w:p>
    <w:p>
      <w:r>
        <w:br w:type="page"/>
      </w:r>
    </w:p>
    <w:p>
      <w:pPr>
        <w:pStyle w:val="Heading1"/>
      </w:pPr>
      <w:r>
        <w:t>Стоматология общей практики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общей практики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ребенком 11 лет обратились в клинику детской стоматологии.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прорезывание зубов  на верхней и нижней челюсти измененной формы и цвета.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Резцы, клыки и первые моляры прорезались с дефектами. Первые моляры быстро разрушились, были запломбированы.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по возрасту.</w:t>
      </w:r>
    </w:p>
    <w:p>
      <w:pPr>
        <w:spacing w:after="58"/>
      </w:pPr>
      <w:r>
        <w:rPr>
          <w:b w:val="0"/>
          <w:i w:val="0"/>
        </w:rPr>
        <w:t>* Перенесённые заболевания: в возрасте 6 месяцев ребенку был поставлен диагноз – «острая почечная недостаточность», проводилось лечение в условиях стационара, в настоящее время находится на диспансерном учете у нефролога.</w:t>
      </w:r>
    </w:p>
    <w:p>
      <w:pPr>
        <w:spacing w:after="58"/>
      </w:pPr>
      <w:r>
        <w:rPr>
          <w:b w:val="0"/>
          <w:i w:val="0"/>
        </w:rPr>
        <w:t>* Аллергологический 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открывание рта свободное, региональные лимфоузлы не пальпируются.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>
        <w:tc>
          <w:tcPr>
            <w:tcW w:type="dxa" w:w="929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|П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||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1.6|1.5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1.4|1.3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1.2|1.1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2.1|2.2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2.3|2.4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2.5|2.6||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4.4|4.3</w:t>
            </w:r>
          </w:p>
        </w:tc>
      </w:tr>
      <w:tr>
        <w:tc>
          <w:tcPr>
            <w:tcW w:type="dxa" w:w="929"/>
          </w:tcPr>
          <w:p>
            <w:r>
              <w:rPr>
                <w:b w:val="0"/>
                <w:i w:val="0"/>
              </w:rPr>
              <w:t>4.2|4.1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*Состояние слизистой оболочки рта, десны, альвеолярных отростков и нёба:* слизистая оболочка бледно-розовая, нормально увлажнена.</w:t>
      </w:r>
    </w:p>
    <w:p>
      <w:pPr>
        <w:spacing w:after="58"/>
      </w:pPr>
      <w:r>
        <w:rPr>
          <w:b w:val="0"/>
          <w:i w:val="0"/>
        </w:rPr>
        <w:t>*Прикус:* постоянный.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r>
        <w:drawing>
          <wp:inline xmlns:a="http://schemas.openxmlformats.org/drawingml/2006/main" xmlns:pic="http://schemas.openxmlformats.org/drawingml/2006/picture">
            <wp:extent cx="5303520" cy="299648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b76ac2cd774721e658c2fe13f1a97b783f100ac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964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таболова5_01.11_рис.1.jpg</w:t>
      </w:r>
    </w:p>
    <w:p>
      <w:r>
        <w:drawing>
          <wp:inline xmlns:a="http://schemas.openxmlformats.org/drawingml/2006/main" xmlns:pic="http://schemas.openxmlformats.org/drawingml/2006/picture">
            <wp:extent cx="5303520" cy="3016377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335e707e2af491f053ba0f70165f7e4ac233086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163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таболова5_01.11_рис.2.jpg</w:t>
      </w:r>
    </w:p>
    <w:p>
      <w:pPr>
        <w:spacing w:after="58"/>
      </w:pPr>
      <w:r>
        <w:rPr>
          <w:b w:val="0"/>
          <w:i w:val="0"/>
        </w:rPr>
        <w:t>При зондировании на вестибулярной поверхности верхних и нижних резцов и клыков отмечается дефекты в виде широкой борозды, дно дефектов плотное. На клыках в самых глубоких участках дефекта отмечается болезненность при зондировании.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диагнозом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Местная гипоплазия эмали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Системная гипоплазия эмали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Эндемический флюороз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Несовершенный амелогенез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Системная гипоплазия эмали</w:t>
      </w:r>
    </w:p>
    <w:p>
      <w:pPr>
        <w:ind w:left="504"/>
      </w:pPr>
      <w:r>
        <w:rPr>
          <w:b w:val="0"/>
          <w:i/>
        </w:rPr>
        <w:t>Диагноз поставлен на основании анамнеза и  клинических данных.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Диагноз</w:t>
      </w:r>
    </w:p>
    <w:p>
      <w:pPr>
        <w:spacing w:after="58"/>
      </w:pPr>
      <w:r>
        <w:rPr>
          <w:b w:val="0"/>
          <w:i w:val="0"/>
        </w:rPr>
        <w:t>K00.4 Системная гипоплазия эмали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причине развития поражения зубов у данного пациента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болезни матери в I половине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болезни матери в II половине беременности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генетические факторы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заболевание ребенка в первые годы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заболевание ребенка в первые годы жизни</w:t>
      </w:r>
    </w:p>
    <w:p>
      <w:pPr>
        <w:ind w:left="504"/>
      </w:pPr>
      <w:r>
        <w:rPr>
          <w:b w:val="0"/>
          <w:i/>
        </w:rPr>
        <w:t>Данные порок развивается при различных заболеваниях, возникших у детей в период минерализации и созревания этих зубов.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 полученным данным клинического обследования данная форма системной гипоплазии эмали соответствует +______+ форме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бороздчатой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эрозивной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волнистой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пятнистой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эрозивной</w:t>
      </w:r>
    </w:p>
    <w:p>
      <w:pPr>
        <w:ind w:left="504"/>
      </w:pPr>
      <w:r>
        <w:rPr>
          <w:b w:val="0"/>
          <w:i/>
        </w:rPr>
        <w:t>Для эрозивной формы характерны чашеобразные углубления, располагаются они на зубах одного периода минерализации, имеют одинаковые размер и форму. На дне углублений эмаль истончена, просвечивается дентин, дно и стенки дефекта гладкие.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Дифференциальную диагностику эрозивной формы системной гипоплазии эмали проводят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эрозивной формой эндемического флюороза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кариесом в стадии пятна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травматическим повреждением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несовершенным дентиногенезом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эрозивной формой эндемического флюороза</w:t>
      </w:r>
    </w:p>
    <w:p>
      <w:pPr>
        <w:ind w:left="504"/>
      </w:pPr>
      <w:r>
        <w:rPr>
          <w:b w:val="0"/>
          <w:i/>
        </w:rPr>
        <w:t>Дифференциальную диагностику эрозивной формы системной гипоплазии эмали проводят с эрозивной формой эндемического флюороза.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Метод лечения зубов у данного пациента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аппликациях диамин-фторида серебра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реставрации композитными материалами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удалении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проведении микроабразии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реставрации композитными материалами</w:t>
      </w:r>
    </w:p>
    <w:p>
      <w:pPr>
        <w:ind w:left="504"/>
      </w:pPr>
      <w:r>
        <w:rPr>
          <w:b w:val="0"/>
          <w:i/>
        </w:rPr>
        <w:t>После завершения формирования зубочелюстной системы проводится эстетическая реставрация гипоплазированных зубов композитными пломбировочными материалами.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пломбировании кариозной полости композитными материалами обязательным этапом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обработка дентин-кондиционером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нанесение адгезивной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обработка диаминфторидом серебра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нанесение защитного лака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нанесение адгезивной системы</w:t>
      </w:r>
    </w:p>
    <w:p>
      <w:pPr>
        <w:ind w:left="504"/>
      </w:pPr>
      <w:r>
        <w:rPr>
          <w:b w:val="0"/>
          <w:i/>
        </w:rPr>
        <w:t>При пломбировании кариозной полости композитными материалами обязательным этапом является нанесение адгезивной системы.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Гибридные композитные материалы можно вносить послойно  в кариозную полость толщиной не более (в мм)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Классическая толщина слоя композитного материала – 2 мм.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Комплексное патогенетическое лечение пациентов с системной гипоплазией эмали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применение иммуномодуляторов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аппликации диаминфторида серебра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реминерализирующую 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применение антисептических полосканий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реминерализирующую терапию</w:t>
      </w:r>
    </w:p>
    <w:p>
      <w:pPr>
        <w:ind w:left="504"/>
      </w:pPr>
      <w:r>
        <w:rPr>
          <w:b w:val="0"/>
          <w:i/>
        </w:rPr>
        <w:t>Комплексное патогенетическое лечение пациентов с системной гипоплазией эмали включает реминерализирующую терапию.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Местная терапия при системной гипоплазии эмали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аппликации фторидсодежащих лаков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антисептические полоскания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метод инфильтрации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аппликации диаминфторида серебра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аппликации фторидсодежащих лаков</w:t>
      </w:r>
    </w:p>
    <w:p>
      <w:pPr>
        <w:ind w:left="504"/>
      </w:pPr>
      <w:r>
        <w:rPr>
          <w:b w:val="0"/>
          <w:i/>
        </w:rPr>
        <w:t>В рамках местной патогенетической терапии проводятся аппликации фтористых лаков и гелей.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пломбирования дефектов при эрозивной форме системной гипоплазии эмали постоянных зубов сразу после прорезывания предпочтительно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цинк-оксид-эвгеноловый цемент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цинк-фосфатный цемент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стеклоиономерные цементы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силикатные цементы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стеклоиономерные цементы</w:t>
      </w:r>
    </w:p>
    <w:p>
      <w:pPr>
        <w:ind w:left="504"/>
      </w:pPr>
      <w:r>
        <w:rPr>
          <w:b w:val="0"/>
          <w:i/>
        </w:rPr>
        <w:t>Для пломбирования дефектов при эрозивной форме системной гипоплазии эмали постоянных зубов сразу после прорезывания предпочтительно использовать стеклоиономерные цементы.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проведения ежедневной гигиены полости рта данному пациенту рекомендуется зубная паста +______________+ фторида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без содержания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содержащая 1450 ppm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содержащая 5000 ppm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содержащая 500 ppm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содержащая 1450 ppm</w:t>
      </w:r>
    </w:p>
    <w:p>
      <w:pPr>
        <w:ind w:left="504"/>
      </w:pPr>
      <w:r>
        <w:rPr>
          <w:b w:val="0"/>
          <w:i/>
        </w:rPr>
        <w:t>Детям школьного возраста рекомендуется использовать зубные пасты, содержащие 1450 ppm фторида.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мерам профилактики системной гипоплазии эмали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профилактику и лечение соматической патологии у беременных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профилактику и своевременное лечение инфекционных заболеваний у ребенка в первые годы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своевременное лечение кариеса и его осложнений временных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профилактику и лечение инфекционных заболеваний у беременных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профилактику и своевременное лечение инфекционных заболеваний у ребенка в первые годы жизни</w:t>
      </w:r>
    </w:p>
    <w:p>
      <w:pPr>
        <w:ind w:left="504"/>
      </w:pPr>
      <w:r>
        <w:rPr>
          <w:b w:val="0"/>
          <w:i/>
        </w:rPr>
        <w:t>К мерам профилактики системной гипоплазии эмали можно отнести профилактику и своевременное лечение инфекционных заболеваний у ребенка в первые годы жизни.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Стоматология общей практики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общей практики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 обратился пациент 16 лет с целью профилактического осмотра.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отсутствуют.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пациента, жалоб нет.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Перенесённые заболевания: ОРВИ, ОРЗ, ветряная оспа.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Вредные привычки: нет.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Туберкулёз, гепатит, ВИЧ, сифилис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 При внешнем осмотре – конфигурация лица не нарушена, регионарные лимфатические узлы не увеличены. Открывание рта свободное. Слизистая оболочка рта в цвете не изменена.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>
        <w:tc>
          <w:tcPr>
            <w:tcW w:type="dxa" w:w="730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{nbsp}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1.8|1.7|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1.5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1.4|1.3|1.2|1.1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2.1|2.2|2.3|2.4|2.5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2.6|2.7|2.8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4.8|4.7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4.6|4.5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4.4|4.3|4.2|4.1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3.1|3.2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3.3|3.4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3.5|3.6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3.7|3.8</w:t>
            </w:r>
          </w:p>
        </w:tc>
      </w:tr>
      <w:tr>
        <w:tc>
          <w:tcPr>
            <w:tcW w:type="dxa" w:w="730"/>
          </w:tcPr>
          <w:p>
            <w:r>
              <w:rPr>
                <w:b w:val="0"/>
                <w:i w:val="0"/>
              </w:rPr>
              <w:t>С</w:t>
            </w:r>
          </w:p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Слизистая оболочка рта, альвеолярных отростков и нёба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 фиссуры на жевательной поверхности зубов 4.6, 4.7 пигментированы, при зондировании зонд застревает в фиссурах. Реакция на холодное слабо болезненная, быстро проходящая. Вертикальная и горизонтальная перкуссия безболезненна.</w:t>
      </w:r>
    </w:p>
    <w:p>
      <w:r>
        <w:drawing>
          <wp:inline xmlns:a="http://schemas.openxmlformats.org/drawingml/2006/main" xmlns:pic="http://schemas.openxmlformats.org/drawingml/2006/picture">
            <wp:extent cx="5303520" cy="265176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660d0532a5e61973bca3acc00163075df159304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517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беркутова45_рис1.jpg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С целью постановки окончательного диагноза следует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панорамную рентгенографию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телерентгенографию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КЛКТ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дентальную рентгенографию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дентальную рентгенографию</w:t>
      </w:r>
    </w:p>
    <w:p>
      <w:pPr>
        <w:ind w:left="504"/>
      </w:pPr>
      <w:r>
        <w:rPr>
          <w:b w:val="0"/>
          <w:i/>
        </w:rPr>
        <w:t>Рентгенологическое обследование необходимо для оценки глубины поражения, исключения поражения периодонта.</w:t>
        <w:br/>
        <w:br/>
        <w:t>Описание клинической картины и диагностики заболевания представлено в источнике: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метода обследования</w:t>
      </w:r>
    </w:p>
    <w:p>
      <w:pPr>
        <w:pStyle w:val="Heading3"/>
      </w:pPr>
      <w:r>
        <w:t>3.1. Дентальная рентгенография</w:t>
      </w:r>
    </w:p>
    <w:p>
      <w:r>
        <w:drawing>
          <wp:inline xmlns:a="http://schemas.openxmlformats.org/drawingml/2006/main" xmlns:pic="http://schemas.openxmlformats.org/drawingml/2006/picture">
            <wp:extent cx="5303520" cy="473528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b943c33df05a18829c78f755073dfcffd630c1b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73528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беркутова45_рис2.jpg</w:t>
      </w:r>
    </w:p>
    <w:p>
      <w:pPr>
        <w:pStyle w:val="Heading3"/>
      </w:pPr>
      <w:r>
        <w:t>3.4. Телерентгенография</w:t>
      </w:r>
    </w:p>
    <w:p>
      <w:r>
        <w:drawing>
          <wp:inline xmlns:a="http://schemas.openxmlformats.org/drawingml/2006/main" xmlns:pic="http://schemas.openxmlformats.org/drawingml/2006/picture">
            <wp:extent cx="5303520" cy="5411757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59f9388a5dec6e4ebac11a9fc6f769d5e6fceed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41175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беркутова45_рис5.jpg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простым и доступным дополнительным методом исследования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электроодонтометрия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электромиография (жевательных мышц)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рентгенологическое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лазерная флюоресценция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лазерная флюоресценция</w:t>
      </w:r>
    </w:p>
    <w:p>
      <w:pPr>
        <w:ind w:left="504"/>
      </w:pPr>
      <w:r>
        <w:rPr>
          <w:b w:val="0"/>
          <w:i/>
        </w:rPr>
        <w:t>Современный метод обнаружения кариеса, выполняемый с помощью аппарата «Диагнодент». Прибор представляет собой лазер мощностью 1 мВт, снабжённый флуоресцентным детектором и работающий при длине волны 655 нм. Действие аппарата основано на разнице длин световых волн, отражённых от здоровых тканей зуба, и от сред, поражённых кариесом. Длину отражённых волн фиксирует и анализирует электронное устройство аппарата.</w:t>
        <w:br/>
        <w:br/>
        <w:t>Детская терапевтическая стоматология / под ред. Леонтьева В. К. , Кисельниковой Л. П. - Москва : ГЭОТАР-Медиа, 2019. - 952 с. (Серия "Национальные руководства") - ISBN 978-5-9704-4974-5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дополнительного метода обследования</w:t>
      </w:r>
    </w:p>
    <w:p>
      <w:pPr>
        <w:pStyle w:val="Heading3"/>
      </w:pPr>
      <w:r>
        <w:t>5.1. Лазерная флюоресценция</w:t>
      </w:r>
    </w:p>
    <w:p>
      <w:pPr>
        <w:spacing w:after="58"/>
      </w:pPr>
      <w:r>
        <w:rPr>
          <w:b w:val="0"/>
          <w:i w:val="0"/>
        </w:rPr>
        <w:t>При обнаружении кариеса раздаётся звуковой сигнал. Значение 45.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этиологически значимым факторам в развитии кариеса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нарушения состава и свойств ротовой жидкости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неполноценное питание и питьевую воду с низким содержанием фтора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мягкий зубной налет и кариесогенную микрофлору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пародонтит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мягкий зубной налет и кариесогенную микрофлору</w:t>
      </w:r>
    </w:p>
    <w:p>
      <w:pPr>
        <w:ind w:left="504"/>
      </w:pPr>
      <w:r>
        <w:rPr>
          <w:b w:val="0"/>
          <w:i/>
        </w:rPr>
        <w:t>Кариес зубов является полиэтиологичным заболеванием, в появлении и развитии которого задействованы различные факторы. Превалирующим является микробный фактор, а именно, Str. mutans.</w:t>
        <w:br/>
        <w:br/>
        <w:t>Описание клинической картины и диагностики заболевания представлено в источнике: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Предполагаемым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Приостановившийся кариес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Клиновидный дефект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Эрозия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Приостановившийся кариес зубов</w:t>
      </w:r>
    </w:p>
    <w:p>
      <w:pPr>
        <w:ind w:left="504"/>
      </w:pPr>
      <w:r>
        <w:rPr>
          <w:b w:val="0"/>
          <w:i/>
        </w:rPr>
        <w:t>В связи с тем, что поражение локализуется в фиссурах и уже пигментировано, а также нет меловидных пятен рядом с поражением, данный процесс можно характеризовать, как приостановившийся.</w:t>
        <w:br/>
        <w:br/>
        <w:t>Описание клинической картины и диагностики заболевания представлено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9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spacing w:after="58"/>
      </w:pPr>
      <w:r>
        <w:rPr>
          <w:b w:val="0"/>
          <w:i w:val="0"/>
        </w:rPr>
        <w:t>K02.3 Приостановившийся кариес зубов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Дифференциальная диагностика проводится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кариесом эмали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хроническим гиперпластическим пульпитом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маргинальным пародонтитом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гиперемией пульпы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кариесом эмали</w:t>
      </w:r>
    </w:p>
    <w:p>
      <w:pPr>
        <w:ind w:left="504"/>
      </w:pPr>
      <w:r>
        <w:rPr>
          <w:b w:val="0"/>
          <w:i/>
        </w:rPr>
        <w:t>При кариесе эмали нет чувствительности на температурные раздражители, а дефект не переходит глубже эмале-дентинного соединения.</w:t>
        <w:br/>
        <w:br/>
        <w:t>Описание клинической картины и диагностики заболевания представлено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9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данном клиническом случае под некрэктомией следует понимать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удаление всех некротизированных тканей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иссечение нависающих краев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комплексное терапевтическое и хирургическое лечение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удаление коронковой пульпы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удаление всех некротизированных тканей</w:t>
      </w:r>
    </w:p>
    <w:p>
      <w:pPr>
        <w:ind w:left="504"/>
      </w:pPr>
      <w:r>
        <w:rPr>
          <w:b w:val="0"/>
          <w:i/>
        </w:rPr>
        <w:t>Одним из этапов препарирования кариозных полостей зубов является некрэктомия, заключающаяся в полном устранении некротизированных тканей зуба.</w:t>
        <w:br/>
        <w:t>Общие подходы к лечению периодонтита представлены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9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Методом лечения зуба 4.6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прямая реставрация с использованием наногибридных композитов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инвазивное запечатывание фиссур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прямая реставрация с использованием пакуемых стеклоиономерных цементов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неинвазивное запечатывание фиссур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прямая реставрация с использованием наногибридных композитов</w:t>
      </w:r>
    </w:p>
    <w:p>
      <w:pPr>
        <w:ind w:left="504"/>
      </w:pPr>
      <w:r>
        <w:rPr>
          <w:b w:val="0"/>
          <w:i/>
        </w:rPr>
        <w:t>Размер дефекта зуба 4.6 укладывается в значение ИРОПЗ 0,2 – 0,4, что позволяет реставрировать зуб прямым методом с использованием современных светоотверждаемых нанокомпозитов.</w:t>
        <w:br/>
        <w:br/>
        <w:t>Описание клинической картины и диагностики заболевания представлено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9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Методом лечения зуба 4.7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прямая реставрация с использованием наногибридных композитов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инвазивное запечатывание фиссур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неинвазивное запечатывание фиссур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прямая реставрация с использованием пакуемых стеклоиономерных цементов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прямая реставрация с использованием наногибридных композитов</w:t>
      </w:r>
    </w:p>
    <w:p>
      <w:pPr>
        <w:ind w:left="504"/>
      </w:pPr>
      <w:r>
        <w:rPr>
          <w:b w:val="0"/>
          <w:i/>
        </w:rPr>
        <w:t>Размер дефекта зуба 4,7 укладывается в значение ИРОПЗ 0,2 – 0,4, что позволяет реставрировать зуб прямым методом с использованием современных светоотверждаемых нанокомпозитов.</w:t>
        <w:br/>
        <w:br/>
        <w:t>Описание клинической картины и диагностики заболевания представлено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9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Бором для раскрытия фиссур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твердосплавный Fissurotomy Original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узкий цилиндрический алмазный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пламевидный алмазный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копьевидный алмазный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твердосплавный Fissurotomy Original</w:t>
      </w:r>
    </w:p>
    <w:p>
      <w:pPr>
        <w:ind w:left="504"/>
      </w:pPr>
      <w:r>
        <w:rPr>
          <w:b w:val="0"/>
          <w:i/>
        </w:rPr>
        <w:t>Для раскрытия фиссур применяются специальные фиссурные боры Fissurotomy Original, имеющие цилиндрическую форму.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Расстояние между излучателем света и пломбировочным материалом не более  (в мм)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ind w:left="504"/>
      </w:pPr>
      <w:r>
        <w:rPr>
          <w:b w:val="0"/>
          <w:i/>
        </w:rPr>
        <w:t>Полимеризация пломбировочного материала светового отверждения выполняется на достаточно близком расстоянии от реставрации, так как с увеличением расстояния происходит рассеяние света и теряется эффективность светового потока.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Пациенту нужно назначить зубную пасту, содержащую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нитрат калия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соединения фтора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пероксид водорода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хлоргексидин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соединения фтора</w:t>
      </w:r>
    </w:p>
    <w:p>
      <w:pPr>
        <w:ind w:left="504"/>
      </w:pPr>
      <w:r>
        <w:rPr>
          <w:b w:val="0"/>
          <w:i/>
        </w:rPr>
        <w:t>Немедикаментозная помощь направлена на осуществление надлежащей гигиены полости рта у пациентов для профилактики кариеса и его осложнений.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9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Изготовление коронок при кариесе дентина показано при ИРОПЗ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4,0 – 8,0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10,0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6,0 – 8,0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2,0 – 6,0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6,0 – 8,0</w:t>
      </w:r>
    </w:p>
    <w:p>
      <w:pPr>
        <w:ind w:left="504"/>
      </w:pPr>
      <w:r>
        <w:rPr>
          <w:b w:val="0"/>
          <w:i/>
        </w:rPr>
        <w:t>При показателях ИРОПЗ &gt;0,6 рекомендовано восстановление коронковой части зуба искусственными коронками (штампованные, цельнолитые, металлокерамические, цельнокерамические, циркониевые).</w:t>
        <w:br/>
        <w:br/>
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года.)</w:t>
        <w:br/>
        <w:br/>
      </w:r>
      <w:hyperlink r:id="rId29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hyperlink" Target="https://library.mededtech.ru/rest/documents/ISBN9785970461730/?anchor=paragraph_u311nc#paragraph_u311nc" TargetMode="External"/><Relationship Id="rId12" Type="http://schemas.openxmlformats.org/officeDocument/2006/relationships/hyperlink" Target="https://library.mededtech.ru/rest/documents/ISBN9785970461730/?anchor=paragraph_84snv1#paragraph_84snv1" TargetMode="External"/><Relationship Id="rId13" Type="http://schemas.openxmlformats.org/officeDocument/2006/relationships/hyperlink" Target="https://library.mededtech.ru/rest/documents/ISBN9785970461730/?anchor=paragraph_pupnl5#paragraph_pupnl5" TargetMode="External"/><Relationship Id="rId14" Type="http://schemas.openxmlformats.org/officeDocument/2006/relationships/hyperlink" Target="https://library.mededtech.ru/rest/documents/ISBN9785970461730/?anchor=table24-3#table24-3" TargetMode="External"/><Relationship Id="rId15" Type="http://schemas.openxmlformats.org/officeDocument/2006/relationships/hyperlink" Target="https://library.mededtech.ru/rest/documents/ISBN9785970461730/?anchor=paragraph_5hj769#paragraph_5hj769" TargetMode="External"/><Relationship Id="rId16" Type="http://schemas.openxmlformats.org/officeDocument/2006/relationships/hyperlink" Target="https://library.mededtech.ru/rest/documents/ISBN9785970461730/?anchor=paragraph_9pl6fk#paragraph_9pl6fk" TargetMode="External"/><Relationship Id="rId17" Type="http://schemas.openxmlformats.org/officeDocument/2006/relationships/hyperlink" Target="https://library.mededtech.ru/rest/documents/ISBN9785970461730/?anchor=paragraph_c0qk7q#paragraph_c0qk7q" TargetMode="External"/><Relationship Id="rId18" Type="http://schemas.openxmlformats.org/officeDocument/2006/relationships/hyperlink" Target="https://library.mededtech.ru/rest/documents/ISBN9785970461730/?anchor=paragraph_jal2pc#paragraph_jal2pc" TargetMode="External"/><Relationship Id="rId19" Type="http://schemas.openxmlformats.org/officeDocument/2006/relationships/hyperlink" Target="https://library.mededtech.ru/rest/documents/ISBN9785970461730/?anchor=paragraph_fui7s7#paragraph_fui7s7" TargetMode="External"/><Relationship Id="rId20" Type="http://schemas.openxmlformats.org/officeDocument/2006/relationships/hyperlink" Target="https://library.mededtech.ru/rest/documents/ISBN9785970461730/?anchor=list_item_7e578a#list_item_7e578a" TargetMode="External"/><Relationship Id="rId21" Type="http://schemas.openxmlformats.org/officeDocument/2006/relationships/hyperlink" Target="https://library.mededtech.ru/rest/documents/ISBN9785970461730/?anchor=list_item_ihjj14#list_item_ihjj14" TargetMode="External"/><Relationship Id="rId22" Type="http://schemas.openxmlformats.org/officeDocument/2006/relationships/hyperlink" Target="https://library.mededtech.ru/rest/documents/ISBN9785970461730/?anchor=list_item_k7s3hl#list_item_k7s3hl" TargetMode="External"/><Relationship Id="rId23" Type="http://schemas.openxmlformats.org/officeDocument/2006/relationships/image" Target="media/image3.jpg"/><Relationship Id="rId24" Type="http://schemas.openxmlformats.org/officeDocument/2006/relationships/hyperlink" Target="https://library.mededtech.ru/rest/documents/ISBN9785970460979/?anchor=&#1056;&#1077;&#1085;&#1090;&#1075;&#1077;&#1085;&#1086;&#1083;&#1086;&#1075;&#1080;&#1095;&#1077;&#1089;&#1082;&#1080;&#1081;_&#1084;&#1077;&#1090;&#1086;&#1076;#&#1056;&#1077;&#1085;&#1090;&#1075;&#1077;&#1085;&#1086;&#1083;&#1086;&#1075;&#1080;&#1095;&#1077;&#1089;&#1082;&#1080;&#1081;_&#1084;&#1077;&#1090;&#1086;&#1076;" TargetMode="External"/><Relationship Id="rId25" Type="http://schemas.openxmlformats.org/officeDocument/2006/relationships/image" Target="media/image4.jpg"/><Relationship Id="rId26" Type="http://schemas.openxmlformats.org/officeDocument/2006/relationships/image" Target="media/image5.jpg"/><Relationship Id="rId27" Type="http://schemas.openxmlformats.org/officeDocument/2006/relationships/hyperlink" Target="https://library.mededtech.ru/rest/documents/ISBN9785970449745/?anchor=paragraph_mtm7mt#paragraph_mtm7mt" TargetMode="External"/><Relationship Id="rId28" Type="http://schemas.openxmlformats.org/officeDocument/2006/relationships/hyperlink" Target="https://library.mededtech.ru/rest/documents/ISBN9785970460979/?anchor=&#1047;&#1091;&#1073;&#1085;&#1086;&#1081;_&#1085;&#1072;&#1083;&#1105;&#1090;_2#&#1047;&#1091;&#1073;&#1085;&#1086;&#1081;_&#1085;&#1072;&#1083;&#1105;&#1090;_2" TargetMode="External"/><Relationship Id="rId29" Type="http://schemas.openxmlformats.org/officeDocument/2006/relationships/hyperlink" Target="https://library.mededtech.ru/rest/documents/4_karies_8aug2018/" TargetMode="External"/><Relationship Id="rId30" Type="http://schemas.openxmlformats.org/officeDocument/2006/relationships/hyperlink" Target="https://library.mededtech.ru/rest/documents/4_karies_8aug2018/#paragraph_s6vll" TargetMode="External"/><Relationship Id="rId31" Type="http://schemas.openxmlformats.org/officeDocument/2006/relationships/hyperlink" Target="https://library.mededtech.ru/rest/documents/4_karies_8aug2018/#paragraph_5s6h3" TargetMode="External"/><Relationship Id="rId32" Type="http://schemas.openxmlformats.org/officeDocument/2006/relationships/hyperlink" Target="https://library.mededtech.ru/rest/documents/4_karies_8aug2018/#paragraph_jb6a7" TargetMode="External"/><Relationship Id="rId33" Type="http://schemas.openxmlformats.org/officeDocument/2006/relationships/hyperlink" Target="https://library.mededtech.ru/rest/documents/4_karies_8aug2018/#list_item_2ksfu" TargetMode="External"/><Relationship Id="rId34" Type="http://schemas.openxmlformats.org/officeDocument/2006/relationships/hyperlink" Target="https://library.mededtech.ru/rest/documents/ISBN9785970460979/?anchor=paragraph_05nd40#paragraph_05nd40" TargetMode="External"/><Relationship Id="rId35" Type="http://schemas.openxmlformats.org/officeDocument/2006/relationships/hyperlink" Target="https://library.mededtech.ru/rest/documents/ISBN9785970460979/?anchor=&#1054;&#1090;&#1074;&#1077;&#1088;&#1078;&#1076;&#1077;&#1085;&#1080;&#1077;_&#1082;&#1086;&#1084;&#1087;&#1086;&#1079;&#1080;&#1090;&#1085;&#1086;&#1075;&#1086;_&#1084;&#1072;&#1090;&#1077;&#1088;&#1080;&#1072;&#1083;&#1072;#&#1054;&#1090;&#1074;&#1077;&#1088;&#1078;&#1076;&#1077;&#1085;&#1080;&#1077;_&#1082;&#1086;&#1084;&#1087;&#1086;&#1079;&#1080;&#1090;&#1085;&#1086;&#1075;&#1086;_&#1084;&#1072;&#1090;&#1077;&#1088;&#1080;&#1072;&#1083;&#1072;" TargetMode="External"/><Relationship Id="rId36" Type="http://schemas.openxmlformats.org/officeDocument/2006/relationships/hyperlink" Target="https://library.mededtech.ru/rest/documents/4_karies_8aug2018/#paragraph_qnsc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